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6" w:rsidRPr="00B85086" w:rsidRDefault="00B85086" w:rsidP="00B85086">
      <w:pPr>
        <w:jc w:val="center"/>
        <w:rPr>
          <w:rFonts w:cs="Arial"/>
          <w:b/>
          <w:i/>
          <w:sz w:val="28"/>
          <w:szCs w:val="28"/>
          <w:lang w:val="en-US"/>
        </w:rPr>
      </w:pPr>
      <w:r w:rsidRPr="00B85086">
        <w:rPr>
          <w:rFonts w:cs="Arial"/>
          <w:b/>
          <w:i/>
          <w:sz w:val="28"/>
          <w:szCs w:val="28"/>
          <w:lang w:val="en-US"/>
        </w:rPr>
        <w:t>The WCRP Conference for Latin America and the Caribbean</w:t>
      </w:r>
      <w:r>
        <w:rPr>
          <w:rFonts w:cs="Arial"/>
          <w:b/>
          <w:i/>
          <w:sz w:val="28"/>
          <w:szCs w:val="28"/>
          <w:lang w:val="en-US"/>
        </w:rPr>
        <w:t>:</w:t>
      </w:r>
    </w:p>
    <w:p w:rsidR="00B85086" w:rsidRPr="00EC2148" w:rsidRDefault="00B85086" w:rsidP="00B85086">
      <w:pPr>
        <w:jc w:val="center"/>
        <w:rPr>
          <w:rFonts w:cs="Arial"/>
          <w:b/>
          <w:i/>
          <w:sz w:val="28"/>
          <w:szCs w:val="28"/>
          <w:lang w:val="en-US"/>
        </w:rPr>
      </w:pPr>
      <w:r w:rsidRPr="00B85086">
        <w:rPr>
          <w:rFonts w:cs="Arial"/>
          <w:b/>
          <w:i/>
          <w:sz w:val="28"/>
          <w:szCs w:val="28"/>
          <w:lang w:val="en-US"/>
        </w:rPr>
        <w:t>Developing, linking, and applying climate knowledge</w:t>
      </w:r>
    </w:p>
    <w:p w:rsidR="00737E6B" w:rsidRDefault="00737E6B" w:rsidP="00EC2148">
      <w:pPr>
        <w:jc w:val="center"/>
        <w:rPr>
          <w:sz w:val="24"/>
          <w:szCs w:val="24"/>
          <w:lang w:val="en-US"/>
        </w:rPr>
      </w:pPr>
    </w:p>
    <w:p w:rsidR="00BA2B95" w:rsidRDefault="00E706B0" w:rsidP="00EC214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Towards</w:t>
      </w:r>
      <w:r w:rsidR="002416B6" w:rsidRPr="00EC2148">
        <w:rPr>
          <w:sz w:val="24"/>
          <w:szCs w:val="24"/>
          <w:lang w:val="en-US"/>
        </w:rPr>
        <w:t xml:space="preserve"> construct</w:t>
      </w:r>
      <w:r>
        <w:rPr>
          <w:sz w:val="24"/>
          <w:szCs w:val="24"/>
          <w:lang w:val="en-US"/>
        </w:rPr>
        <w:t>ing</w:t>
      </w:r>
      <w:r w:rsidR="002416B6" w:rsidRPr="00EC2148">
        <w:rPr>
          <w:sz w:val="24"/>
          <w:szCs w:val="24"/>
          <w:lang w:val="en-US"/>
        </w:rPr>
        <w:t xml:space="preserve"> a</w:t>
      </w:r>
      <w:r w:rsidR="00BA2B95" w:rsidRPr="00EC2148">
        <w:rPr>
          <w:sz w:val="24"/>
          <w:szCs w:val="24"/>
          <w:lang w:val="en-US"/>
        </w:rPr>
        <w:t xml:space="preserve"> </w:t>
      </w:r>
      <w:r w:rsidR="002416B6" w:rsidRPr="00EC2148">
        <w:rPr>
          <w:sz w:val="24"/>
          <w:szCs w:val="24"/>
          <w:lang w:val="en-US"/>
        </w:rPr>
        <w:t>knowledge</w:t>
      </w:r>
      <w:r w:rsidR="00AD36AF">
        <w:rPr>
          <w:sz w:val="24"/>
          <w:szCs w:val="24"/>
          <w:lang w:val="en-US"/>
        </w:rPr>
        <w:t xml:space="preserve"> network between</w:t>
      </w:r>
      <w:r w:rsidR="00BA2B95" w:rsidRPr="00EC2148">
        <w:rPr>
          <w:sz w:val="24"/>
          <w:szCs w:val="24"/>
          <w:lang w:val="en-US"/>
        </w:rPr>
        <w:t xml:space="preserve"> climate</w:t>
      </w:r>
      <w:r w:rsidR="00917AAD">
        <w:rPr>
          <w:sz w:val="24"/>
          <w:szCs w:val="24"/>
          <w:lang w:val="en-US"/>
        </w:rPr>
        <w:t xml:space="preserve"> </w:t>
      </w:r>
      <w:r w:rsidR="00BA2B95" w:rsidRPr="00EC2148">
        <w:rPr>
          <w:sz w:val="24"/>
          <w:szCs w:val="24"/>
          <w:lang w:val="en-US"/>
        </w:rPr>
        <w:t xml:space="preserve">research and decision-making </w:t>
      </w:r>
      <w:r w:rsidR="002416B6" w:rsidRPr="00EC2148">
        <w:rPr>
          <w:sz w:val="24"/>
          <w:szCs w:val="24"/>
          <w:lang w:val="en-US"/>
        </w:rPr>
        <w:t>at the regional level</w:t>
      </w:r>
    </w:p>
    <w:p w:rsidR="00737E6B" w:rsidRDefault="00737E6B" w:rsidP="00EC2148">
      <w:pPr>
        <w:jc w:val="center"/>
        <w:rPr>
          <w:b/>
          <w:sz w:val="24"/>
          <w:szCs w:val="24"/>
          <w:u w:val="single"/>
          <w:lang w:val="en-US"/>
        </w:rPr>
      </w:pPr>
    </w:p>
    <w:p w:rsidR="002416B6" w:rsidRPr="00B12C44" w:rsidRDefault="002E0E32" w:rsidP="00EC2148">
      <w:pPr>
        <w:jc w:val="center"/>
        <w:rPr>
          <w:b/>
          <w:sz w:val="24"/>
          <w:szCs w:val="24"/>
          <w:u w:val="single"/>
          <w:lang w:val="en-US"/>
        </w:rPr>
      </w:pPr>
      <w:r w:rsidRPr="00B12C44">
        <w:rPr>
          <w:b/>
          <w:sz w:val="24"/>
          <w:szCs w:val="24"/>
          <w:u w:val="single"/>
          <w:lang w:val="en-US"/>
        </w:rPr>
        <w:t>Concept note</w:t>
      </w:r>
    </w:p>
    <w:p w:rsidR="00EC2148" w:rsidRPr="00EC2148" w:rsidRDefault="00EC2148" w:rsidP="00EC2148">
      <w:pPr>
        <w:jc w:val="center"/>
        <w:rPr>
          <w:sz w:val="24"/>
          <w:szCs w:val="24"/>
          <w:lang w:val="en-US"/>
        </w:rPr>
      </w:pPr>
    </w:p>
    <w:p w:rsidR="002416B6" w:rsidRPr="00EC2148" w:rsidRDefault="002416B6" w:rsidP="00EC2148">
      <w:pPr>
        <w:jc w:val="both"/>
        <w:rPr>
          <w:sz w:val="24"/>
          <w:szCs w:val="24"/>
          <w:lang w:val="en-US"/>
        </w:rPr>
      </w:pPr>
      <w:r w:rsidRPr="00EC2148">
        <w:rPr>
          <w:sz w:val="24"/>
          <w:szCs w:val="24"/>
          <w:lang w:val="en-US"/>
        </w:rPr>
        <w:t>During the last WCRP-O</w:t>
      </w:r>
      <w:r w:rsidR="005C482C">
        <w:rPr>
          <w:sz w:val="24"/>
          <w:szCs w:val="24"/>
          <w:lang w:val="en-US"/>
        </w:rPr>
        <w:t xml:space="preserve">pen </w:t>
      </w:r>
      <w:r w:rsidRPr="00EC2148">
        <w:rPr>
          <w:sz w:val="24"/>
          <w:szCs w:val="24"/>
          <w:lang w:val="en-US"/>
        </w:rPr>
        <w:t>S</w:t>
      </w:r>
      <w:r w:rsidR="005C482C">
        <w:rPr>
          <w:sz w:val="24"/>
          <w:szCs w:val="24"/>
          <w:lang w:val="en-US"/>
        </w:rPr>
        <w:t xml:space="preserve">cience </w:t>
      </w:r>
      <w:r w:rsidRPr="00EC2148">
        <w:rPr>
          <w:sz w:val="24"/>
          <w:szCs w:val="24"/>
          <w:lang w:val="en-US"/>
        </w:rPr>
        <w:t>C</w:t>
      </w:r>
      <w:r w:rsidR="005C482C">
        <w:rPr>
          <w:sz w:val="24"/>
          <w:szCs w:val="24"/>
          <w:lang w:val="en-US"/>
        </w:rPr>
        <w:t>onference</w:t>
      </w:r>
      <w:r w:rsidRPr="00EC2148">
        <w:rPr>
          <w:sz w:val="24"/>
          <w:szCs w:val="24"/>
          <w:lang w:val="en-US"/>
        </w:rPr>
        <w:t xml:space="preserve"> it has been made clear that</w:t>
      </w:r>
      <w:r w:rsidR="004D6D3C" w:rsidRPr="00EC2148">
        <w:rPr>
          <w:sz w:val="24"/>
          <w:szCs w:val="24"/>
          <w:lang w:val="en-US"/>
        </w:rPr>
        <w:t xml:space="preserve"> the </w:t>
      </w:r>
      <w:r w:rsidR="005C482C">
        <w:rPr>
          <w:sz w:val="24"/>
          <w:szCs w:val="24"/>
          <w:lang w:val="en-US"/>
        </w:rPr>
        <w:t xml:space="preserve">climate </w:t>
      </w:r>
      <w:r w:rsidR="004D6D3C" w:rsidRPr="00EC2148">
        <w:rPr>
          <w:sz w:val="24"/>
          <w:szCs w:val="24"/>
          <w:lang w:val="en-US"/>
        </w:rPr>
        <w:t xml:space="preserve">research community is facing a complex challenge that </w:t>
      </w:r>
      <w:r w:rsidR="00206078" w:rsidRPr="00EC2148">
        <w:rPr>
          <w:sz w:val="24"/>
          <w:szCs w:val="24"/>
          <w:lang w:val="en-US"/>
        </w:rPr>
        <w:t>includes</w:t>
      </w:r>
      <w:r w:rsidR="004D6D3C" w:rsidRPr="00EC2148">
        <w:rPr>
          <w:sz w:val="24"/>
          <w:szCs w:val="24"/>
          <w:lang w:val="en-US"/>
        </w:rPr>
        <w:t xml:space="preserve"> improving our knowledge on the climate system</w:t>
      </w:r>
      <w:r w:rsidR="00C8339C" w:rsidRPr="00EC2148">
        <w:rPr>
          <w:sz w:val="24"/>
          <w:szCs w:val="24"/>
          <w:lang w:val="en-US"/>
        </w:rPr>
        <w:t xml:space="preserve">, </w:t>
      </w:r>
      <w:r w:rsidR="004D6D3C" w:rsidRPr="00EC2148">
        <w:rPr>
          <w:sz w:val="24"/>
          <w:szCs w:val="24"/>
          <w:lang w:val="en-US"/>
        </w:rPr>
        <w:t>the interactions among its components</w:t>
      </w:r>
      <w:r w:rsidR="00EC2148">
        <w:rPr>
          <w:sz w:val="24"/>
          <w:szCs w:val="24"/>
          <w:lang w:val="en-US"/>
        </w:rPr>
        <w:t xml:space="preserve"> and the limits of predictability</w:t>
      </w:r>
      <w:r w:rsidR="00206078">
        <w:rPr>
          <w:sz w:val="24"/>
          <w:szCs w:val="24"/>
          <w:lang w:val="en-US"/>
        </w:rPr>
        <w:t>. The challenge also involves</w:t>
      </w:r>
      <w:r w:rsidR="004D6D3C" w:rsidRPr="00EC2148">
        <w:rPr>
          <w:sz w:val="24"/>
          <w:szCs w:val="24"/>
          <w:lang w:val="en-US"/>
        </w:rPr>
        <w:t xml:space="preserve"> enhancing our ability to interact with other disciplines, particularly</w:t>
      </w:r>
      <w:r w:rsidR="00E35FFD">
        <w:rPr>
          <w:sz w:val="24"/>
          <w:szCs w:val="24"/>
          <w:lang w:val="en-US"/>
        </w:rPr>
        <w:t xml:space="preserve"> </w:t>
      </w:r>
      <w:r w:rsidR="0079711C" w:rsidRPr="00EC2148">
        <w:rPr>
          <w:sz w:val="24"/>
          <w:szCs w:val="24"/>
          <w:lang w:val="en-US"/>
        </w:rPr>
        <w:t>decision makers</w:t>
      </w:r>
      <w:r w:rsidR="00E35FFD">
        <w:rPr>
          <w:sz w:val="24"/>
          <w:szCs w:val="24"/>
          <w:lang w:val="en-US"/>
        </w:rPr>
        <w:t xml:space="preserve"> </w:t>
      </w:r>
      <w:r w:rsidR="00206078">
        <w:rPr>
          <w:sz w:val="24"/>
          <w:szCs w:val="24"/>
          <w:lang w:val="en-US"/>
        </w:rPr>
        <w:t xml:space="preserve">(including those who elaborate policy) </w:t>
      </w:r>
      <w:r w:rsidR="0079711C">
        <w:rPr>
          <w:sz w:val="24"/>
          <w:szCs w:val="24"/>
          <w:lang w:val="en-US"/>
        </w:rPr>
        <w:t>and social scientists</w:t>
      </w:r>
      <w:r w:rsidR="00E35FFD">
        <w:rPr>
          <w:sz w:val="24"/>
          <w:szCs w:val="24"/>
          <w:lang w:val="en-US"/>
        </w:rPr>
        <w:t xml:space="preserve"> </w:t>
      </w:r>
      <w:r w:rsidR="002E0E32" w:rsidRPr="00EC2148">
        <w:rPr>
          <w:sz w:val="24"/>
          <w:szCs w:val="24"/>
          <w:lang w:val="en-US"/>
        </w:rPr>
        <w:t xml:space="preserve">in order </w:t>
      </w:r>
      <w:r w:rsidR="004D6D3C" w:rsidRPr="00EC2148">
        <w:rPr>
          <w:sz w:val="24"/>
          <w:szCs w:val="24"/>
          <w:lang w:val="en-US"/>
        </w:rPr>
        <w:t xml:space="preserve">to translate climate knowledge into actionable </w:t>
      </w:r>
      <w:r w:rsidR="00206078">
        <w:rPr>
          <w:sz w:val="24"/>
          <w:szCs w:val="24"/>
          <w:lang w:val="en-US"/>
        </w:rPr>
        <w:t>information</w:t>
      </w:r>
      <w:r w:rsidR="004D6D3C" w:rsidRPr="00EC2148">
        <w:rPr>
          <w:sz w:val="24"/>
          <w:szCs w:val="24"/>
          <w:lang w:val="en-US"/>
        </w:rPr>
        <w:t xml:space="preserve">. </w:t>
      </w:r>
    </w:p>
    <w:p w:rsidR="007A6021" w:rsidRPr="00EC2148" w:rsidRDefault="002E0E32" w:rsidP="00EC2148">
      <w:pPr>
        <w:jc w:val="both"/>
        <w:rPr>
          <w:sz w:val="24"/>
          <w:szCs w:val="24"/>
          <w:lang w:val="en-US"/>
        </w:rPr>
      </w:pPr>
      <w:r w:rsidRPr="00EC2148">
        <w:rPr>
          <w:sz w:val="24"/>
          <w:szCs w:val="24"/>
          <w:lang w:val="en-US"/>
        </w:rPr>
        <w:t>This ch</w:t>
      </w:r>
      <w:r w:rsidR="008102F6" w:rsidRPr="00EC2148">
        <w:rPr>
          <w:sz w:val="24"/>
          <w:szCs w:val="24"/>
          <w:lang w:val="en-US"/>
        </w:rPr>
        <w:t>allenge exhibits important</w:t>
      </w:r>
      <w:r w:rsidRPr="00EC2148">
        <w:rPr>
          <w:sz w:val="24"/>
          <w:szCs w:val="24"/>
          <w:lang w:val="en-US"/>
        </w:rPr>
        <w:t xml:space="preserve"> regional characteristics</w:t>
      </w:r>
      <w:r w:rsidR="00FE1092">
        <w:rPr>
          <w:sz w:val="24"/>
          <w:szCs w:val="24"/>
          <w:lang w:val="en-US"/>
        </w:rPr>
        <w:t xml:space="preserve">, including different </w:t>
      </w:r>
      <w:r w:rsidR="001B5ACA">
        <w:rPr>
          <w:sz w:val="24"/>
          <w:szCs w:val="24"/>
          <w:lang w:val="en-US"/>
        </w:rPr>
        <w:t xml:space="preserve">socio-economic </w:t>
      </w:r>
      <w:r w:rsidR="00FE1092">
        <w:rPr>
          <w:sz w:val="24"/>
          <w:szCs w:val="24"/>
          <w:lang w:val="en-US"/>
        </w:rPr>
        <w:t xml:space="preserve">levels of </w:t>
      </w:r>
      <w:r w:rsidR="0079711C">
        <w:rPr>
          <w:sz w:val="24"/>
          <w:szCs w:val="24"/>
          <w:lang w:val="en-US"/>
        </w:rPr>
        <w:t xml:space="preserve">exposition, </w:t>
      </w:r>
      <w:r w:rsidR="00FE1092">
        <w:rPr>
          <w:sz w:val="24"/>
          <w:szCs w:val="24"/>
          <w:lang w:val="en-US"/>
        </w:rPr>
        <w:t xml:space="preserve">vulnerability </w:t>
      </w:r>
      <w:r w:rsidR="001B5ACA">
        <w:rPr>
          <w:sz w:val="24"/>
          <w:szCs w:val="24"/>
          <w:lang w:val="en-US"/>
        </w:rPr>
        <w:t xml:space="preserve">and </w:t>
      </w:r>
      <w:r w:rsidR="0079711C">
        <w:rPr>
          <w:sz w:val="24"/>
          <w:szCs w:val="24"/>
          <w:lang w:val="en-US"/>
        </w:rPr>
        <w:t>adaptability</w:t>
      </w:r>
      <w:r w:rsidR="00E35FFD">
        <w:rPr>
          <w:sz w:val="24"/>
          <w:szCs w:val="24"/>
          <w:lang w:val="en-US"/>
        </w:rPr>
        <w:t xml:space="preserve"> </w:t>
      </w:r>
      <w:r w:rsidR="00FE1092">
        <w:rPr>
          <w:sz w:val="24"/>
          <w:szCs w:val="24"/>
          <w:lang w:val="en-US"/>
        </w:rPr>
        <w:t xml:space="preserve">to a </w:t>
      </w:r>
      <w:r w:rsidR="00206078">
        <w:rPr>
          <w:sz w:val="24"/>
          <w:szCs w:val="24"/>
          <w:lang w:val="en-US"/>
        </w:rPr>
        <w:t xml:space="preserve">variable and </w:t>
      </w:r>
      <w:r w:rsidR="00FE1092">
        <w:rPr>
          <w:sz w:val="24"/>
          <w:szCs w:val="24"/>
          <w:lang w:val="en-US"/>
        </w:rPr>
        <w:t>changing climate. These</w:t>
      </w:r>
      <w:r w:rsidR="004912C8">
        <w:rPr>
          <w:sz w:val="24"/>
          <w:szCs w:val="24"/>
          <w:lang w:val="en-US"/>
        </w:rPr>
        <w:t xml:space="preserve"> peculiarities</w:t>
      </w:r>
      <w:r w:rsidR="00E35FFD">
        <w:rPr>
          <w:sz w:val="24"/>
          <w:szCs w:val="24"/>
          <w:lang w:val="en-US"/>
        </w:rPr>
        <w:t xml:space="preserve"> </w:t>
      </w:r>
      <w:r w:rsidR="008102F6" w:rsidRPr="00EC2148">
        <w:rPr>
          <w:sz w:val="24"/>
          <w:szCs w:val="24"/>
          <w:lang w:val="en-US"/>
        </w:rPr>
        <w:t xml:space="preserve">should be </w:t>
      </w:r>
      <w:r w:rsidR="007A6021" w:rsidRPr="00EC2148">
        <w:rPr>
          <w:sz w:val="24"/>
          <w:szCs w:val="24"/>
          <w:lang w:val="en-US"/>
        </w:rPr>
        <w:t>clearly identified</w:t>
      </w:r>
      <w:r w:rsidR="008102F6" w:rsidRPr="00EC2148">
        <w:rPr>
          <w:sz w:val="24"/>
          <w:szCs w:val="24"/>
          <w:lang w:val="en-US"/>
        </w:rPr>
        <w:t xml:space="preserve"> to effectively accomplish the goal of promoting the research needed to underpin the </w:t>
      </w:r>
      <w:r w:rsidR="00C03CFB">
        <w:rPr>
          <w:sz w:val="24"/>
          <w:szCs w:val="24"/>
          <w:lang w:val="en-US"/>
        </w:rPr>
        <w:t>generation</w:t>
      </w:r>
      <w:r w:rsidR="00E35FFD">
        <w:rPr>
          <w:sz w:val="24"/>
          <w:szCs w:val="24"/>
          <w:lang w:val="en-US"/>
        </w:rPr>
        <w:t xml:space="preserve"> </w:t>
      </w:r>
      <w:r w:rsidR="008102F6" w:rsidRPr="00EC2148">
        <w:rPr>
          <w:sz w:val="24"/>
          <w:szCs w:val="24"/>
          <w:lang w:val="en-US"/>
        </w:rPr>
        <w:t xml:space="preserve">of </w:t>
      </w:r>
      <w:r w:rsidR="00C03CFB">
        <w:rPr>
          <w:sz w:val="24"/>
          <w:szCs w:val="24"/>
          <w:lang w:val="en-US"/>
        </w:rPr>
        <w:t xml:space="preserve">relevant </w:t>
      </w:r>
      <w:r w:rsidR="008102F6" w:rsidRPr="00EC2148">
        <w:rPr>
          <w:sz w:val="24"/>
          <w:szCs w:val="24"/>
          <w:lang w:val="en-US"/>
        </w:rPr>
        <w:t>climate information</w:t>
      </w:r>
      <w:r w:rsidR="001B5ACA">
        <w:rPr>
          <w:sz w:val="24"/>
          <w:szCs w:val="24"/>
          <w:lang w:val="en-US"/>
        </w:rPr>
        <w:t xml:space="preserve"> and skillful climate predictions</w:t>
      </w:r>
      <w:r w:rsidR="007A6021" w:rsidRPr="00EC2148">
        <w:rPr>
          <w:sz w:val="24"/>
          <w:szCs w:val="24"/>
          <w:lang w:val="en-US"/>
        </w:rPr>
        <w:t xml:space="preserve">, </w:t>
      </w:r>
      <w:r w:rsidRPr="00EC2148">
        <w:rPr>
          <w:sz w:val="24"/>
          <w:szCs w:val="24"/>
          <w:lang w:val="en-US"/>
        </w:rPr>
        <w:t>thus providing the rationale for the</w:t>
      </w:r>
      <w:r w:rsidR="00917AAD">
        <w:rPr>
          <w:sz w:val="24"/>
          <w:szCs w:val="24"/>
          <w:lang w:val="en-US"/>
        </w:rPr>
        <w:t xml:space="preserve"> </w:t>
      </w:r>
      <w:r w:rsidR="005C482C" w:rsidRPr="005C482C">
        <w:rPr>
          <w:i/>
          <w:sz w:val="24"/>
          <w:szCs w:val="24"/>
          <w:lang w:val="en-US"/>
        </w:rPr>
        <w:t xml:space="preserve">WCRP Conference for Latin America and the Caribbean </w:t>
      </w:r>
      <w:r w:rsidR="005C482C">
        <w:rPr>
          <w:i/>
          <w:sz w:val="24"/>
          <w:szCs w:val="24"/>
          <w:lang w:val="en-US"/>
        </w:rPr>
        <w:t>(</w:t>
      </w:r>
      <w:r w:rsidR="00B85086">
        <w:rPr>
          <w:i/>
          <w:sz w:val="24"/>
          <w:szCs w:val="24"/>
          <w:lang w:val="en-US"/>
        </w:rPr>
        <w:t>WCRP-LAC</w:t>
      </w:r>
      <w:r w:rsidR="005C482C">
        <w:rPr>
          <w:i/>
          <w:sz w:val="24"/>
          <w:szCs w:val="24"/>
          <w:lang w:val="en-US"/>
        </w:rPr>
        <w:t>)</w:t>
      </w:r>
      <w:r w:rsidRPr="00EC2148">
        <w:rPr>
          <w:i/>
          <w:sz w:val="24"/>
          <w:szCs w:val="24"/>
          <w:lang w:val="en-US"/>
        </w:rPr>
        <w:t>.</w:t>
      </w:r>
    </w:p>
    <w:p w:rsidR="002218F8" w:rsidRPr="00EC2148" w:rsidRDefault="005C482C" w:rsidP="00EC214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main goal of this C</w:t>
      </w:r>
      <w:r w:rsidR="007A6021" w:rsidRPr="00EC2148">
        <w:rPr>
          <w:sz w:val="24"/>
          <w:szCs w:val="24"/>
          <w:lang w:val="en-US"/>
        </w:rPr>
        <w:t xml:space="preserve">onference is to identify gaps and ways to overcome limitations </w:t>
      </w:r>
      <w:r w:rsidR="00EC2148">
        <w:rPr>
          <w:sz w:val="24"/>
          <w:szCs w:val="24"/>
          <w:lang w:val="en-US"/>
        </w:rPr>
        <w:t>in the</w:t>
      </w:r>
      <w:r w:rsidR="007A6021" w:rsidRPr="00EC2148">
        <w:rPr>
          <w:sz w:val="24"/>
          <w:szCs w:val="24"/>
          <w:lang w:val="en-US"/>
        </w:rPr>
        <w:t xml:space="preserve"> chain of knowledge </w:t>
      </w:r>
      <w:r w:rsidR="00EC2148">
        <w:rPr>
          <w:sz w:val="24"/>
          <w:szCs w:val="24"/>
          <w:lang w:val="en-US"/>
        </w:rPr>
        <w:t>going from basic to applied climate science</w:t>
      </w:r>
      <w:r w:rsidR="00C03CFB">
        <w:rPr>
          <w:sz w:val="24"/>
          <w:szCs w:val="24"/>
          <w:lang w:val="en-US"/>
        </w:rPr>
        <w:t xml:space="preserve"> and to informing policy and decisions </w:t>
      </w:r>
      <w:r w:rsidR="007A6021" w:rsidRPr="00EC2148">
        <w:rPr>
          <w:sz w:val="24"/>
          <w:szCs w:val="24"/>
          <w:lang w:val="en-US"/>
        </w:rPr>
        <w:t>that are particularly relevant for LAC</w:t>
      </w:r>
      <w:r w:rsidR="00560FA1" w:rsidRPr="00EC2148">
        <w:rPr>
          <w:sz w:val="24"/>
          <w:szCs w:val="24"/>
          <w:lang w:val="en-US"/>
        </w:rPr>
        <w:t xml:space="preserve">. This will </w:t>
      </w:r>
      <w:r w:rsidR="00EC2148" w:rsidRPr="00EC2148">
        <w:rPr>
          <w:sz w:val="24"/>
          <w:szCs w:val="24"/>
          <w:lang w:val="en-US"/>
        </w:rPr>
        <w:t>imply</w:t>
      </w:r>
      <w:r w:rsidR="00560FA1" w:rsidRPr="00EC2148">
        <w:rPr>
          <w:sz w:val="24"/>
          <w:szCs w:val="24"/>
          <w:lang w:val="en-US"/>
        </w:rPr>
        <w:t xml:space="preserve"> bui</w:t>
      </w:r>
      <w:r w:rsidR="00EC2148" w:rsidRPr="00EC2148">
        <w:rPr>
          <w:sz w:val="24"/>
          <w:szCs w:val="24"/>
          <w:lang w:val="en-US"/>
        </w:rPr>
        <w:t>l</w:t>
      </w:r>
      <w:r w:rsidR="00560FA1" w:rsidRPr="00EC2148">
        <w:rPr>
          <w:sz w:val="24"/>
          <w:szCs w:val="24"/>
          <w:lang w:val="en-US"/>
        </w:rPr>
        <w:t>ding interdi</w:t>
      </w:r>
      <w:r w:rsidR="00EC2148" w:rsidRPr="00EC2148">
        <w:rPr>
          <w:sz w:val="24"/>
          <w:szCs w:val="24"/>
          <w:lang w:val="en-US"/>
        </w:rPr>
        <w:t>s</w:t>
      </w:r>
      <w:r w:rsidR="00560FA1" w:rsidRPr="00EC2148">
        <w:rPr>
          <w:sz w:val="24"/>
          <w:szCs w:val="24"/>
          <w:lang w:val="en-US"/>
        </w:rPr>
        <w:t>ciplinary capacity</w:t>
      </w:r>
      <w:r w:rsidR="00EC2148" w:rsidRPr="00EC2148">
        <w:rPr>
          <w:sz w:val="24"/>
          <w:szCs w:val="24"/>
          <w:lang w:val="en-US"/>
        </w:rPr>
        <w:t>,</w:t>
      </w:r>
      <w:r w:rsidR="00E35FFD">
        <w:rPr>
          <w:sz w:val="24"/>
          <w:szCs w:val="24"/>
          <w:lang w:val="en-US"/>
        </w:rPr>
        <w:t xml:space="preserve"> </w:t>
      </w:r>
      <w:r w:rsidR="007A6021" w:rsidRPr="00EC2148">
        <w:rPr>
          <w:sz w:val="24"/>
          <w:szCs w:val="24"/>
          <w:lang w:val="en-US"/>
        </w:rPr>
        <w:t xml:space="preserve">fostering the </w:t>
      </w:r>
      <w:r w:rsidR="002E0E32" w:rsidRPr="00EC2148">
        <w:rPr>
          <w:sz w:val="24"/>
          <w:szCs w:val="24"/>
          <w:lang w:val="en-US"/>
        </w:rPr>
        <w:t>participation of decision</w:t>
      </w:r>
      <w:r w:rsidR="008C395B" w:rsidRPr="00EC2148">
        <w:rPr>
          <w:sz w:val="24"/>
          <w:szCs w:val="24"/>
          <w:lang w:val="en-US"/>
        </w:rPr>
        <w:t xml:space="preserve"> and policy </w:t>
      </w:r>
      <w:r w:rsidR="002E0E32" w:rsidRPr="00EC2148">
        <w:rPr>
          <w:sz w:val="24"/>
          <w:szCs w:val="24"/>
          <w:lang w:val="en-US"/>
        </w:rPr>
        <w:t xml:space="preserve">makers, </w:t>
      </w:r>
      <w:r w:rsidR="008C395B" w:rsidRPr="00EC2148">
        <w:rPr>
          <w:sz w:val="24"/>
          <w:szCs w:val="24"/>
          <w:lang w:val="en-US"/>
        </w:rPr>
        <w:t>climate and social scientists</w:t>
      </w:r>
      <w:r w:rsidR="00776816">
        <w:rPr>
          <w:sz w:val="24"/>
          <w:szCs w:val="24"/>
          <w:lang w:val="en-US"/>
        </w:rPr>
        <w:t>,</w:t>
      </w:r>
      <w:r w:rsidR="008C395B" w:rsidRPr="00EC2148">
        <w:rPr>
          <w:sz w:val="24"/>
          <w:szCs w:val="24"/>
          <w:lang w:val="en-US"/>
        </w:rPr>
        <w:t xml:space="preserve"> and key intermedia</w:t>
      </w:r>
      <w:r w:rsidR="00387E37">
        <w:rPr>
          <w:sz w:val="24"/>
          <w:szCs w:val="24"/>
          <w:lang w:val="en-US"/>
        </w:rPr>
        <w:t>ry</w:t>
      </w:r>
      <w:r w:rsidR="008C395B" w:rsidRPr="00EC2148">
        <w:rPr>
          <w:sz w:val="24"/>
          <w:szCs w:val="24"/>
          <w:lang w:val="en-US"/>
        </w:rPr>
        <w:t xml:space="preserve"> institutions</w:t>
      </w:r>
      <w:r w:rsidR="00560FA1" w:rsidRPr="00EC2148">
        <w:rPr>
          <w:sz w:val="24"/>
          <w:szCs w:val="24"/>
          <w:lang w:val="en-US"/>
        </w:rPr>
        <w:t xml:space="preserve">. Moreover, it is also expected that the </w:t>
      </w:r>
      <w:r w:rsidR="001014FB">
        <w:rPr>
          <w:i/>
          <w:sz w:val="24"/>
          <w:szCs w:val="24"/>
          <w:lang w:val="en-US"/>
        </w:rPr>
        <w:t>WCRP</w:t>
      </w:r>
      <w:r w:rsidR="0079711C">
        <w:rPr>
          <w:i/>
          <w:sz w:val="24"/>
          <w:szCs w:val="24"/>
          <w:lang w:val="en-US"/>
        </w:rPr>
        <w:t>-LAC</w:t>
      </w:r>
      <w:r w:rsidR="00917AAD">
        <w:rPr>
          <w:i/>
          <w:sz w:val="24"/>
          <w:szCs w:val="24"/>
          <w:lang w:val="en-US"/>
        </w:rPr>
        <w:t xml:space="preserve"> </w:t>
      </w:r>
      <w:r w:rsidR="00560FA1" w:rsidRPr="00EC2148">
        <w:rPr>
          <w:sz w:val="24"/>
          <w:szCs w:val="24"/>
          <w:lang w:val="en-US"/>
        </w:rPr>
        <w:t xml:space="preserve">could contribute to </w:t>
      </w:r>
      <w:r w:rsidR="00776816">
        <w:rPr>
          <w:sz w:val="24"/>
          <w:szCs w:val="24"/>
          <w:lang w:val="en-US"/>
        </w:rPr>
        <w:t xml:space="preserve">the discussions </w:t>
      </w:r>
      <w:r w:rsidR="00917AAD">
        <w:rPr>
          <w:sz w:val="24"/>
          <w:szCs w:val="24"/>
          <w:lang w:val="en-US"/>
        </w:rPr>
        <w:t xml:space="preserve">on the </w:t>
      </w:r>
      <w:r w:rsidR="00560FA1" w:rsidRPr="00EC2148">
        <w:rPr>
          <w:sz w:val="24"/>
          <w:szCs w:val="24"/>
          <w:lang w:val="en-US"/>
        </w:rPr>
        <w:t>emerg</w:t>
      </w:r>
      <w:r w:rsidR="00387E37">
        <w:rPr>
          <w:sz w:val="24"/>
          <w:szCs w:val="24"/>
          <w:lang w:val="en-US"/>
        </w:rPr>
        <w:t>ing</w:t>
      </w:r>
      <w:r w:rsidR="00917AAD">
        <w:rPr>
          <w:sz w:val="24"/>
          <w:szCs w:val="24"/>
          <w:lang w:val="en-US"/>
        </w:rPr>
        <w:t xml:space="preserve"> </w:t>
      </w:r>
      <w:r w:rsidR="00387E37">
        <w:rPr>
          <w:sz w:val="24"/>
          <w:szCs w:val="24"/>
          <w:lang w:val="en-US"/>
        </w:rPr>
        <w:t xml:space="preserve">provision of </w:t>
      </w:r>
      <w:r w:rsidR="00560FA1" w:rsidRPr="00EC2148">
        <w:rPr>
          <w:sz w:val="24"/>
          <w:szCs w:val="24"/>
          <w:lang w:val="en-US"/>
        </w:rPr>
        <w:t xml:space="preserve">regional </w:t>
      </w:r>
      <w:r w:rsidR="002218F8" w:rsidRPr="00EC2148">
        <w:rPr>
          <w:sz w:val="24"/>
          <w:szCs w:val="24"/>
          <w:lang w:val="en-US"/>
        </w:rPr>
        <w:t>Climate Services</w:t>
      </w:r>
      <w:r w:rsidR="00EC2148" w:rsidRPr="00EC2148">
        <w:rPr>
          <w:sz w:val="24"/>
          <w:szCs w:val="24"/>
          <w:lang w:val="en-US"/>
        </w:rPr>
        <w:t>.</w:t>
      </w:r>
    </w:p>
    <w:p w:rsidR="00B12C44" w:rsidRDefault="00B12C44" w:rsidP="00EC2148">
      <w:pPr>
        <w:pStyle w:val="Textocomentario"/>
        <w:jc w:val="both"/>
        <w:rPr>
          <w:b/>
          <w:bCs/>
          <w:sz w:val="28"/>
          <w:szCs w:val="28"/>
        </w:rPr>
      </w:pPr>
    </w:p>
    <w:p w:rsidR="00560FA1" w:rsidRPr="00B12C44" w:rsidRDefault="00560FA1" w:rsidP="00EC2148">
      <w:pPr>
        <w:pStyle w:val="Textocomentario"/>
        <w:jc w:val="both"/>
        <w:rPr>
          <w:b/>
          <w:bCs/>
          <w:sz w:val="28"/>
          <w:szCs w:val="28"/>
        </w:rPr>
      </w:pPr>
      <w:r w:rsidRPr="00B12C44">
        <w:rPr>
          <w:b/>
          <w:bCs/>
          <w:sz w:val="28"/>
          <w:szCs w:val="28"/>
        </w:rPr>
        <w:t>Objectives</w:t>
      </w:r>
    </w:p>
    <w:p w:rsidR="008E1A6A" w:rsidRDefault="008E1A6A" w:rsidP="004912C8">
      <w:pPr>
        <w:pStyle w:val="Textocomentario"/>
        <w:spacing w:line="276" w:lineRule="auto"/>
        <w:jc w:val="both"/>
      </w:pPr>
      <w:r>
        <w:rPr>
          <w:bCs/>
        </w:rPr>
        <w:t>The</w:t>
      </w:r>
      <w:r w:rsidR="00917AAD">
        <w:rPr>
          <w:bCs/>
        </w:rPr>
        <w:t xml:space="preserve"> </w:t>
      </w:r>
      <w:r w:rsidR="001014FB">
        <w:rPr>
          <w:i/>
        </w:rPr>
        <w:t>WCRP</w:t>
      </w:r>
      <w:r w:rsidR="0079711C">
        <w:rPr>
          <w:i/>
        </w:rPr>
        <w:t>-LAC</w:t>
      </w:r>
      <w:r w:rsidR="00917AAD">
        <w:rPr>
          <w:i/>
        </w:rPr>
        <w:t xml:space="preserve"> </w:t>
      </w:r>
      <w:r w:rsidRPr="008E1A6A">
        <w:t xml:space="preserve">should </w:t>
      </w:r>
      <w:r>
        <w:rPr>
          <w:bCs/>
        </w:rPr>
        <w:t xml:space="preserve">aid in defining the </w:t>
      </w:r>
      <w:r w:rsidR="002218F8" w:rsidRPr="00EC2148">
        <w:rPr>
          <w:bCs/>
        </w:rPr>
        <w:t xml:space="preserve">research </w:t>
      </w:r>
      <w:r>
        <w:rPr>
          <w:bCs/>
        </w:rPr>
        <w:t xml:space="preserve">agenda </w:t>
      </w:r>
      <w:r w:rsidR="002218F8" w:rsidRPr="00EC2148">
        <w:rPr>
          <w:bCs/>
        </w:rPr>
        <w:t xml:space="preserve">needed to </w:t>
      </w:r>
      <w:r w:rsidR="00776816">
        <w:rPr>
          <w:bCs/>
        </w:rPr>
        <w:t>contribute to</w:t>
      </w:r>
      <w:r w:rsidR="00917AAD">
        <w:rPr>
          <w:bCs/>
        </w:rPr>
        <w:t xml:space="preserve"> </w:t>
      </w:r>
      <w:r w:rsidR="002218F8" w:rsidRPr="00EC2148">
        <w:rPr>
          <w:bCs/>
        </w:rPr>
        <w:t xml:space="preserve">the provision of effective, </w:t>
      </w:r>
      <w:r w:rsidR="00387E37">
        <w:rPr>
          <w:bCs/>
        </w:rPr>
        <w:t>problem-oriented and demand-driven</w:t>
      </w:r>
      <w:r w:rsidR="002218F8" w:rsidRPr="00EC2148">
        <w:rPr>
          <w:bCs/>
        </w:rPr>
        <w:t xml:space="preserve"> climate services</w:t>
      </w:r>
      <w:r>
        <w:rPr>
          <w:bCs/>
        </w:rPr>
        <w:t>. This will necessar</w:t>
      </w:r>
      <w:r w:rsidR="00387E37">
        <w:rPr>
          <w:bCs/>
        </w:rPr>
        <w:t>il</w:t>
      </w:r>
      <w:r>
        <w:rPr>
          <w:bCs/>
        </w:rPr>
        <w:t>y</w:t>
      </w:r>
      <w:r w:rsidR="00917AAD">
        <w:rPr>
          <w:bCs/>
        </w:rPr>
        <w:t xml:space="preserve"> </w:t>
      </w:r>
      <w:r>
        <w:rPr>
          <w:bCs/>
        </w:rPr>
        <w:t>require</w:t>
      </w:r>
      <w:r w:rsidR="002218F8" w:rsidRPr="00EC2148">
        <w:rPr>
          <w:bCs/>
        </w:rPr>
        <w:t xml:space="preserve"> a balance between </w:t>
      </w:r>
      <w:r w:rsidR="00CD78CD" w:rsidRPr="00EC2148">
        <w:rPr>
          <w:bCs/>
        </w:rPr>
        <w:t>(</w:t>
      </w:r>
      <w:proofErr w:type="spellStart"/>
      <w:r w:rsidR="002218F8" w:rsidRPr="00EC2148">
        <w:rPr>
          <w:bCs/>
        </w:rPr>
        <w:t>i</w:t>
      </w:r>
      <w:proofErr w:type="spellEnd"/>
      <w:r w:rsidR="002218F8" w:rsidRPr="00EC2148">
        <w:rPr>
          <w:bCs/>
        </w:rPr>
        <w:t>) research focused in improving climate</w:t>
      </w:r>
      <w:r w:rsidR="000972CE">
        <w:rPr>
          <w:bCs/>
        </w:rPr>
        <w:t xml:space="preserve"> monitoring and</w:t>
      </w:r>
      <w:r w:rsidR="002218F8" w:rsidRPr="00EC2148">
        <w:rPr>
          <w:bCs/>
        </w:rPr>
        <w:t xml:space="preserve"> predictions at regional and local scales; </w:t>
      </w:r>
      <w:r w:rsidR="00CD78CD" w:rsidRPr="00EC2148">
        <w:rPr>
          <w:bCs/>
        </w:rPr>
        <w:t>(</w:t>
      </w:r>
      <w:r w:rsidR="002218F8" w:rsidRPr="00EC2148">
        <w:rPr>
          <w:bCs/>
        </w:rPr>
        <w:t xml:space="preserve">ii) research oriented by the </w:t>
      </w:r>
      <w:r w:rsidR="002218F8" w:rsidRPr="00EC2148">
        <w:rPr>
          <w:bCs/>
        </w:rPr>
        <w:lastRenderedPageBreak/>
        <w:t>demands of socio-economic sectors sensitive to climate</w:t>
      </w:r>
      <w:r w:rsidR="00387E37">
        <w:rPr>
          <w:bCs/>
        </w:rPr>
        <w:t>,</w:t>
      </w:r>
      <w:r w:rsidR="002218F8" w:rsidRPr="00EC2148">
        <w:rPr>
          <w:bCs/>
        </w:rPr>
        <w:t xml:space="preserve"> and </w:t>
      </w:r>
      <w:r w:rsidR="002218F8" w:rsidRPr="00EC2148">
        <w:t xml:space="preserve">(iii) research on </w:t>
      </w:r>
      <w:r w:rsidR="00CD78CD" w:rsidRPr="00EC2148">
        <w:t xml:space="preserve">the process of informing policy </w:t>
      </w:r>
      <w:r w:rsidR="00387E37">
        <w:t>and</w:t>
      </w:r>
      <w:r w:rsidR="00CD78CD" w:rsidRPr="00EC2148">
        <w:t xml:space="preserve"> decision</w:t>
      </w:r>
      <w:r w:rsidR="00387E37">
        <w:t>-</w:t>
      </w:r>
      <w:r w:rsidR="002218F8" w:rsidRPr="00EC2148">
        <w:t>making in the different socioeconomic sectors.</w:t>
      </w:r>
    </w:p>
    <w:p w:rsidR="00E7667D" w:rsidRDefault="00316F49" w:rsidP="004912C8">
      <w:pPr>
        <w:pStyle w:val="Textocomentario"/>
        <w:spacing w:line="276" w:lineRule="auto"/>
        <w:jc w:val="both"/>
      </w:pPr>
      <w:r>
        <w:t>The s</w:t>
      </w:r>
      <w:r w:rsidR="002D7CA5">
        <w:t xml:space="preserve">pecific objectives underlying these main research strategies </w:t>
      </w:r>
      <w:r>
        <w:t>are to</w:t>
      </w:r>
      <w:r w:rsidR="002D7CA5">
        <w:t>:</w:t>
      </w:r>
    </w:p>
    <w:p w:rsidR="004A742E" w:rsidRDefault="004A742E" w:rsidP="004912C8">
      <w:pPr>
        <w:pStyle w:val="Textocomentario"/>
        <w:numPr>
          <w:ilvl w:val="0"/>
          <w:numId w:val="1"/>
        </w:numPr>
        <w:spacing w:line="276" w:lineRule="auto"/>
        <w:jc w:val="both"/>
      </w:pPr>
      <w:r>
        <w:t>Identify research themes critical to improve our understanding of sources and intrinsic levels of predictability on intraseasonal, interannual, decadal and longer time scales</w:t>
      </w:r>
    </w:p>
    <w:p w:rsidR="002D7CA5" w:rsidRPr="004A742E" w:rsidRDefault="0079711C" w:rsidP="004912C8">
      <w:pPr>
        <w:pStyle w:val="Textocomentario"/>
        <w:numPr>
          <w:ilvl w:val="0"/>
          <w:numId w:val="1"/>
        </w:numPr>
        <w:spacing w:line="276" w:lineRule="auto"/>
        <w:jc w:val="both"/>
      </w:pPr>
      <w:r>
        <w:t>Identify strategies to n</w:t>
      </w:r>
      <w:r w:rsidR="004A742E">
        <w:t xml:space="preserve">arrow the gap between </w:t>
      </w:r>
      <w:r w:rsidR="004A742E" w:rsidRPr="002218F8">
        <w:rPr>
          <w:bCs/>
        </w:rPr>
        <w:t>current predictive capabilities in the region and estimated limits of predictability</w:t>
      </w:r>
    </w:p>
    <w:p w:rsidR="004A742E" w:rsidRPr="00AD36AF" w:rsidRDefault="004A742E" w:rsidP="00316F49">
      <w:pPr>
        <w:pStyle w:val="Textocomentario"/>
        <w:numPr>
          <w:ilvl w:val="0"/>
          <w:numId w:val="1"/>
        </w:numPr>
        <w:spacing w:line="276" w:lineRule="auto"/>
        <w:jc w:val="both"/>
      </w:pPr>
      <w:r>
        <w:rPr>
          <w:bCs/>
        </w:rPr>
        <w:t xml:space="preserve">Improve understanding and </w:t>
      </w:r>
      <w:r w:rsidR="00776816">
        <w:rPr>
          <w:bCs/>
        </w:rPr>
        <w:t xml:space="preserve">assess predictability </w:t>
      </w:r>
      <w:r>
        <w:rPr>
          <w:bCs/>
        </w:rPr>
        <w:t xml:space="preserve">of climate </w:t>
      </w:r>
      <w:r w:rsidR="0023635B">
        <w:rPr>
          <w:bCs/>
        </w:rPr>
        <w:t>extreme events</w:t>
      </w:r>
      <w:r w:rsidR="00776816">
        <w:rPr>
          <w:bCs/>
        </w:rPr>
        <w:t>,</w:t>
      </w:r>
      <w:r w:rsidR="00316F49">
        <w:rPr>
          <w:bCs/>
        </w:rPr>
        <w:t xml:space="preserve"> and </w:t>
      </w:r>
      <w:r w:rsidR="00776816">
        <w:rPr>
          <w:bCs/>
        </w:rPr>
        <w:t xml:space="preserve">evaluate </w:t>
      </w:r>
      <w:r w:rsidR="00316F49">
        <w:rPr>
          <w:bCs/>
        </w:rPr>
        <w:t>their impacts on key environmental services and on society</w:t>
      </w:r>
    </w:p>
    <w:p w:rsidR="00AD36AF" w:rsidRPr="004A742E" w:rsidRDefault="00AD36AF" w:rsidP="00AD36AF">
      <w:pPr>
        <w:pStyle w:val="Textocomentario"/>
        <w:numPr>
          <w:ilvl w:val="0"/>
          <w:numId w:val="1"/>
        </w:numPr>
        <w:spacing w:line="276" w:lineRule="auto"/>
        <w:jc w:val="both"/>
      </w:pPr>
      <w:r>
        <w:t>Assess regional capabilities for</w:t>
      </w:r>
      <w:r w:rsidR="00440766">
        <w:t xml:space="preserve"> </w:t>
      </w:r>
      <w:r w:rsidRPr="00AD36AF">
        <w:t xml:space="preserve">monitoring </w:t>
      </w:r>
      <w:r w:rsidR="00440766">
        <w:t>the climate system and extreme climate events, including those of natural and anthropogenic origin</w:t>
      </w:r>
      <w:r w:rsidRPr="00AD36AF">
        <w:t>.</w:t>
      </w:r>
    </w:p>
    <w:p w:rsidR="00625B1D" w:rsidRPr="004A742E" w:rsidRDefault="00625B1D" w:rsidP="004912C8">
      <w:pPr>
        <w:pStyle w:val="Textocomentario"/>
        <w:numPr>
          <w:ilvl w:val="0"/>
          <w:numId w:val="1"/>
        </w:numPr>
        <w:spacing w:line="276" w:lineRule="auto"/>
        <w:jc w:val="both"/>
      </w:pPr>
      <w:r>
        <w:t>Discuss and plan how to e</w:t>
      </w:r>
      <w:r w:rsidRPr="00E06E16">
        <w:t>stablish a research framework oriented to identify climate-related information, products and tools needed in the different socioeconomic sectors, and to explore communication strategies to improve the flow of knowledge t</w:t>
      </w:r>
      <w:r w:rsidR="001365CF">
        <w:t>hroughout the information networks and contribute to the establishment of a “system of knowledge”</w:t>
      </w:r>
    </w:p>
    <w:p w:rsidR="00B12C44" w:rsidRDefault="00316F49" w:rsidP="004912C8">
      <w:pPr>
        <w:pStyle w:val="Textocomentario"/>
        <w:numPr>
          <w:ilvl w:val="0"/>
          <w:numId w:val="1"/>
        </w:numPr>
        <w:spacing w:line="276" w:lineRule="auto"/>
        <w:jc w:val="both"/>
      </w:pPr>
      <w:r>
        <w:t xml:space="preserve">Promote discussions across WCRP emerging initiatives relevant to LAC such </w:t>
      </w:r>
      <w:r w:rsidR="001335F6">
        <w:t>as</w:t>
      </w:r>
      <w:r>
        <w:t xml:space="preserve"> grand challenge on regional climate, grand challenge on water availability, and CLIVAR Monsoon activities</w:t>
      </w:r>
    </w:p>
    <w:p w:rsidR="00B12C44" w:rsidRDefault="00893CFA" w:rsidP="001014FB">
      <w:pPr>
        <w:pStyle w:val="Textocomentario"/>
        <w:numPr>
          <w:ilvl w:val="0"/>
          <w:numId w:val="1"/>
        </w:numPr>
        <w:spacing w:line="276" w:lineRule="auto"/>
        <w:jc w:val="both"/>
      </w:pPr>
      <w:r>
        <w:t xml:space="preserve">Contribute to the identification of knowledge needed to establish relevant </w:t>
      </w:r>
      <w:r w:rsidR="00B12C44">
        <w:t>regional climate services</w:t>
      </w:r>
      <w:r>
        <w:t xml:space="preserve"> with the advances in the above research topics</w:t>
      </w:r>
    </w:p>
    <w:p w:rsidR="002218F8" w:rsidRDefault="00AC02E7" w:rsidP="004912C8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 w:rsidR="002218F8" w:rsidRPr="00B12C44">
        <w:rPr>
          <w:bCs/>
          <w:sz w:val="24"/>
          <w:szCs w:val="24"/>
          <w:lang w:val="en-US"/>
        </w:rPr>
        <w:t xml:space="preserve">It is evident, however, that </w:t>
      </w:r>
      <w:r w:rsidR="000972CE">
        <w:rPr>
          <w:bCs/>
          <w:sz w:val="24"/>
          <w:szCs w:val="24"/>
          <w:lang w:val="en-US"/>
        </w:rPr>
        <w:t xml:space="preserve">there is a diverse range of </w:t>
      </w:r>
      <w:r w:rsidR="002218F8" w:rsidRPr="00B12C44">
        <w:rPr>
          <w:bCs/>
          <w:sz w:val="24"/>
          <w:szCs w:val="24"/>
          <w:lang w:val="en-US"/>
        </w:rPr>
        <w:t>socioeconomic sectors sensitive to climate in Latin America</w:t>
      </w:r>
      <w:r w:rsidR="00B12C44">
        <w:rPr>
          <w:bCs/>
          <w:sz w:val="24"/>
          <w:szCs w:val="24"/>
          <w:lang w:val="en-US"/>
        </w:rPr>
        <w:t xml:space="preserve"> and the Caribbean</w:t>
      </w:r>
      <w:r w:rsidR="002218F8" w:rsidRPr="00B12C44">
        <w:rPr>
          <w:bCs/>
          <w:sz w:val="24"/>
          <w:szCs w:val="24"/>
          <w:lang w:val="en-US"/>
        </w:rPr>
        <w:t xml:space="preserve">. Therefore, </w:t>
      </w:r>
      <w:r w:rsidR="001014FB">
        <w:rPr>
          <w:i/>
          <w:sz w:val="24"/>
          <w:szCs w:val="24"/>
          <w:lang w:val="en-US"/>
        </w:rPr>
        <w:t>WCRP</w:t>
      </w:r>
      <w:r w:rsidR="00625B1D">
        <w:rPr>
          <w:i/>
          <w:sz w:val="24"/>
          <w:szCs w:val="24"/>
          <w:lang w:val="en-US"/>
        </w:rPr>
        <w:t>-LAC</w:t>
      </w:r>
      <w:r w:rsidR="00917AAD">
        <w:rPr>
          <w:i/>
          <w:sz w:val="24"/>
          <w:szCs w:val="24"/>
          <w:lang w:val="en-US"/>
        </w:rPr>
        <w:t xml:space="preserve"> </w:t>
      </w:r>
      <w:r w:rsidR="00B12C44">
        <w:rPr>
          <w:bCs/>
          <w:sz w:val="24"/>
          <w:szCs w:val="24"/>
          <w:lang w:val="en-US"/>
        </w:rPr>
        <w:t>activities will</w:t>
      </w:r>
      <w:r w:rsidR="002218F8" w:rsidRPr="00B12C44">
        <w:rPr>
          <w:bCs/>
          <w:sz w:val="24"/>
          <w:szCs w:val="24"/>
          <w:lang w:val="en-US"/>
        </w:rPr>
        <w:t xml:space="preserve"> be focused in the </w:t>
      </w:r>
      <w:r w:rsidR="001014FB">
        <w:rPr>
          <w:bCs/>
          <w:sz w:val="24"/>
          <w:szCs w:val="24"/>
          <w:lang w:val="en-US"/>
        </w:rPr>
        <w:t>following</w:t>
      </w:r>
      <w:r w:rsidR="00917AAD">
        <w:rPr>
          <w:bCs/>
          <w:sz w:val="24"/>
          <w:szCs w:val="24"/>
          <w:lang w:val="en-US"/>
        </w:rPr>
        <w:t xml:space="preserve"> </w:t>
      </w:r>
      <w:r w:rsidR="002218F8" w:rsidRPr="00B12C44">
        <w:rPr>
          <w:bCs/>
          <w:sz w:val="24"/>
          <w:szCs w:val="24"/>
          <w:lang w:val="en-US"/>
        </w:rPr>
        <w:t>thematic areas: water</w:t>
      </w:r>
      <w:r w:rsidR="001014FB">
        <w:rPr>
          <w:bCs/>
          <w:sz w:val="24"/>
          <w:szCs w:val="24"/>
          <w:lang w:val="en-US"/>
        </w:rPr>
        <w:t xml:space="preserve"> and energy</w:t>
      </w:r>
      <w:r w:rsidR="002218F8" w:rsidRPr="00B12C44">
        <w:rPr>
          <w:bCs/>
          <w:sz w:val="24"/>
          <w:szCs w:val="24"/>
          <w:lang w:val="en-US"/>
        </w:rPr>
        <w:t>, agriculture</w:t>
      </w:r>
      <w:r w:rsidR="001014FB">
        <w:rPr>
          <w:bCs/>
          <w:sz w:val="24"/>
          <w:szCs w:val="24"/>
          <w:lang w:val="en-US"/>
        </w:rPr>
        <w:t xml:space="preserve"> and ecosystems, human</w:t>
      </w:r>
      <w:r w:rsidR="002218F8" w:rsidRPr="00B12C44">
        <w:rPr>
          <w:bCs/>
          <w:sz w:val="24"/>
          <w:szCs w:val="24"/>
          <w:lang w:val="en-US"/>
        </w:rPr>
        <w:t xml:space="preserve"> health</w:t>
      </w:r>
      <w:r w:rsidR="001014FB">
        <w:rPr>
          <w:bCs/>
          <w:sz w:val="24"/>
          <w:szCs w:val="24"/>
          <w:lang w:val="en-US"/>
        </w:rPr>
        <w:t>, coastal zones and urban environments</w:t>
      </w:r>
      <w:r w:rsidR="002218F8" w:rsidRPr="00B12C44">
        <w:rPr>
          <w:bCs/>
          <w:sz w:val="24"/>
          <w:szCs w:val="24"/>
          <w:lang w:val="en-US"/>
        </w:rPr>
        <w:t xml:space="preserve">. In </w:t>
      </w:r>
      <w:r w:rsidR="00B12C44">
        <w:rPr>
          <w:bCs/>
          <w:sz w:val="24"/>
          <w:szCs w:val="24"/>
          <w:lang w:val="en-US"/>
        </w:rPr>
        <w:t>LAC</w:t>
      </w:r>
      <w:r w:rsidR="002218F8" w:rsidRPr="00B12C44">
        <w:rPr>
          <w:bCs/>
          <w:sz w:val="24"/>
          <w:szCs w:val="24"/>
          <w:lang w:val="en-US"/>
        </w:rPr>
        <w:t xml:space="preserve"> there are national, regional and international experiences in integrated studies focused on water resources and agriculture. The WCRP Conference </w:t>
      </w:r>
      <w:r w:rsidR="00893CFA">
        <w:rPr>
          <w:bCs/>
          <w:sz w:val="24"/>
          <w:szCs w:val="24"/>
          <w:lang w:val="en-US"/>
        </w:rPr>
        <w:t>will</w:t>
      </w:r>
      <w:r w:rsidR="00E35FFD">
        <w:rPr>
          <w:bCs/>
          <w:sz w:val="24"/>
          <w:szCs w:val="24"/>
          <w:lang w:val="en-US"/>
        </w:rPr>
        <w:t xml:space="preserve"> </w:t>
      </w:r>
      <w:r w:rsidR="002218F8" w:rsidRPr="00B12C44">
        <w:rPr>
          <w:bCs/>
          <w:sz w:val="24"/>
          <w:szCs w:val="24"/>
          <w:lang w:val="en-US"/>
        </w:rPr>
        <w:t xml:space="preserve">provide an opportunity to initiate and/or expand the dialog with stakeholders of those specific socio-economic sectors in order to plan new relevant research activities. </w:t>
      </w:r>
    </w:p>
    <w:p w:rsidR="00893CFA" w:rsidRDefault="00893CFA" w:rsidP="004912C8">
      <w:pPr>
        <w:jc w:val="both"/>
        <w:rPr>
          <w:sz w:val="24"/>
          <w:szCs w:val="24"/>
          <w:lang w:val="en-US"/>
        </w:rPr>
      </w:pPr>
    </w:p>
    <w:p w:rsidR="002218F8" w:rsidRPr="004912C8" w:rsidRDefault="004912C8" w:rsidP="004912C8">
      <w:pPr>
        <w:jc w:val="both"/>
        <w:rPr>
          <w:sz w:val="24"/>
          <w:szCs w:val="24"/>
          <w:lang w:val="en-US"/>
        </w:rPr>
      </w:pPr>
      <w:r w:rsidRPr="004912C8">
        <w:rPr>
          <w:sz w:val="24"/>
          <w:szCs w:val="24"/>
          <w:lang w:val="en-US"/>
        </w:rPr>
        <w:t xml:space="preserve">The </w:t>
      </w:r>
      <w:r w:rsidR="001014FB">
        <w:rPr>
          <w:i/>
          <w:sz w:val="24"/>
          <w:szCs w:val="24"/>
          <w:lang w:val="en-US"/>
        </w:rPr>
        <w:t>WCRP</w:t>
      </w:r>
      <w:r w:rsidR="00641D89">
        <w:rPr>
          <w:i/>
          <w:sz w:val="24"/>
          <w:szCs w:val="24"/>
          <w:lang w:val="en-US"/>
        </w:rPr>
        <w:t>-LAC</w:t>
      </w:r>
      <w:r w:rsidR="00917AAD">
        <w:rPr>
          <w:i/>
          <w:sz w:val="24"/>
          <w:szCs w:val="24"/>
          <w:lang w:val="en-US"/>
        </w:rPr>
        <w:t xml:space="preserve"> </w:t>
      </w:r>
      <w:r w:rsidRPr="004912C8">
        <w:rPr>
          <w:sz w:val="24"/>
          <w:szCs w:val="24"/>
          <w:lang w:val="en-US"/>
        </w:rPr>
        <w:t xml:space="preserve">objectives </w:t>
      </w:r>
      <w:r w:rsidR="001A65C0">
        <w:rPr>
          <w:sz w:val="24"/>
          <w:szCs w:val="24"/>
          <w:lang w:val="en-US"/>
        </w:rPr>
        <w:t>matched with expected outcomes</w:t>
      </w:r>
      <w:r w:rsidRPr="004912C8">
        <w:rPr>
          <w:sz w:val="24"/>
          <w:szCs w:val="24"/>
          <w:lang w:val="en-US"/>
        </w:rPr>
        <w:t xml:space="preserve"> are listed below</w:t>
      </w:r>
    </w:p>
    <w:p w:rsidR="002218F8" w:rsidRPr="00B12C44" w:rsidRDefault="002218F8" w:rsidP="00B12C44">
      <w:pPr>
        <w:jc w:val="both"/>
        <w:rPr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1A65C0" w:rsidTr="00F01B59">
        <w:tc>
          <w:tcPr>
            <w:tcW w:w="4219" w:type="dxa"/>
          </w:tcPr>
          <w:p w:rsidR="001A65C0" w:rsidRDefault="001A65C0" w:rsidP="00B12C4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Specific Objective</w:t>
            </w:r>
            <w:r w:rsidR="00E35FF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1A65C0" w:rsidRDefault="00F01B59" w:rsidP="00B12C4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Expected outcome</w:t>
            </w:r>
          </w:p>
        </w:tc>
      </w:tr>
      <w:tr w:rsidR="001A65C0" w:rsidRPr="000F0B86" w:rsidTr="00F01B59">
        <w:tc>
          <w:tcPr>
            <w:tcW w:w="4219" w:type="dxa"/>
          </w:tcPr>
          <w:p w:rsidR="001A65C0" w:rsidRPr="00F01B59" w:rsidRDefault="00F01B59" w:rsidP="00316F49">
            <w:pPr>
              <w:pStyle w:val="Textocomentari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>
              <w:t>Identify research themes critical to improve our understanding of sources and intrinsic levels of predictability on intraseasonal, interannual, decadal and longer time scales</w:t>
            </w:r>
          </w:p>
        </w:tc>
        <w:tc>
          <w:tcPr>
            <w:tcW w:w="4253" w:type="dxa"/>
          </w:tcPr>
          <w:p w:rsidR="001365CF" w:rsidRPr="001365CF" w:rsidRDefault="001365CF" w:rsidP="001365CF">
            <w:pPr>
              <w:pStyle w:val="Textosinforma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Definition of</w:t>
            </w:r>
            <w:r w:rsidRPr="001365CF">
              <w:rPr>
                <w:sz w:val="24"/>
                <w:szCs w:val="24"/>
                <w:lang w:val="en-US"/>
              </w:rPr>
              <w:t xml:space="preserve"> research priorities undertaking the themes that </w:t>
            </w:r>
            <w:proofErr w:type="gramStart"/>
            <w:r w:rsidRPr="001365CF">
              <w:rPr>
                <w:sz w:val="24"/>
                <w:szCs w:val="24"/>
                <w:lang w:val="en-US"/>
              </w:rPr>
              <w:t>constrain  predictability</w:t>
            </w:r>
            <w:proofErr w:type="gramEnd"/>
            <w:r w:rsidRPr="001365CF">
              <w:rPr>
                <w:sz w:val="24"/>
                <w:szCs w:val="24"/>
                <w:lang w:val="en-US"/>
              </w:rPr>
              <w:t xml:space="preserve"> in LAC, with especial emphasis on those more relevant to provide effective climate services.</w:t>
            </w:r>
          </w:p>
          <w:p w:rsidR="001365CF" w:rsidRPr="008E1803" w:rsidRDefault="001365CF" w:rsidP="008E18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1A65C0" w:rsidRDefault="001A65C0" w:rsidP="000972C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A65C0" w:rsidRPr="000F0B86" w:rsidTr="00F01B59">
        <w:tc>
          <w:tcPr>
            <w:tcW w:w="4219" w:type="dxa"/>
          </w:tcPr>
          <w:p w:rsidR="001A65C0" w:rsidRPr="00A534E0" w:rsidRDefault="008D5E42" w:rsidP="00316F49">
            <w:pPr>
              <w:pStyle w:val="Textocomentari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>
              <w:t>Identify strategies to n</w:t>
            </w:r>
            <w:r w:rsidR="00A534E0">
              <w:t xml:space="preserve">arrow the gap between </w:t>
            </w:r>
            <w:r w:rsidR="00A534E0" w:rsidRPr="002218F8">
              <w:rPr>
                <w:bCs/>
              </w:rPr>
              <w:t>current predictive capabilities in the region and estimated limits of predictability</w:t>
            </w:r>
          </w:p>
        </w:tc>
        <w:tc>
          <w:tcPr>
            <w:tcW w:w="4253" w:type="dxa"/>
          </w:tcPr>
          <w:p w:rsidR="001A65C0" w:rsidRPr="004172E7" w:rsidRDefault="00701A5D" w:rsidP="000972CE">
            <w:pPr>
              <w:jc w:val="both"/>
              <w:rPr>
                <w:sz w:val="24"/>
                <w:szCs w:val="24"/>
                <w:lang w:val="en-US"/>
              </w:rPr>
            </w:pPr>
            <w:r w:rsidRPr="004172E7">
              <w:rPr>
                <w:bCs/>
                <w:sz w:val="24"/>
                <w:szCs w:val="24"/>
                <w:lang w:val="en-US"/>
              </w:rPr>
              <w:t>Develop</w:t>
            </w:r>
            <w:r w:rsidR="001365CF">
              <w:rPr>
                <w:bCs/>
                <w:sz w:val="24"/>
                <w:szCs w:val="24"/>
                <w:lang w:val="en-US"/>
              </w:rPr>
              <w:t>ment of</w:t>
            </w:r>
            <w:r w:rsidRPr="004172E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215843" w:rsidRPr="004172E7">
              <w:rPr>
                <w:bCs/>
                <w:sz w:val="24"/>
                <w:szCs w:val="24"/>
                <w:lang w:val="en-US"/>
              </w:rPr>
              <w:t>combined</w:t>
            </w:r>
            <w:r w:rsidR="000972CE" w:rsidRPr="004172E7">
              <w:rPr>
                <w:bCs/>
                <w:sz w:val="24"/>
                <w:szCs w:val="24"/>
                <w:lang w:val="en-US"/>
              </w:rPr>
              <w:t xml:space="preserve"> strategies </w:t>
            </w:r>
            <w:r w:rsidR="00E0572C" w:rsidRPr="004172E7">
              <w:rPr>
                <w:bCs/>
                <w:sz w:val="24"/>
                <w:szCs w:val="24"/>
                <w:lang w:val="en-US"/>
              </w:rPr>
              <w:t xml:space="preserve">of </w:t>
            </w:r>
            <w:r w:rsidRPr="004172E7">
              <w:rPr>
                <w:bCs/>
                <w:sz w:val="24"/>
                <w:szCs w:val="24"/>
                <w:lang w:val="en-US"/>
              </w:rPr>
              <w:t>statistical and</w:t>
            </w:r>
            <w:r w:rsidR="000972CE" w:rsidRPr="004172E7">
              <w:rPr>
                <w:bCs/>
                <w:sz w:val="24"/>
                <w:szCs w:val="24"/>
                <w:lang w:val="en-US"/>
              </w:rPr>
              <w:t>/or</w:t>
            </w:r>
            <w:r w:rsidRPr="004172E7">
              <w:rPr>
                <w:bCs/>
                <w:sz w:val="24"/>
                <w:szCs w:val="24"/>
                <w:lang w:val="en-US"/>
              </w:rPr>
              <w:t xml:space="preserve"> dynamical model</w:t>
            </w:r>
            <w:r w:rsidR="000972CE" w:rsidRPr="004172E7">
              <w:rPr>
                <w:bCs/>
                <w:sz w:val="24"/>
                <w:szCs w:val="24"/>
                <w:lang w:val="en-US"/>
              </w:rPr>
              <w:t>s based</w:t>
            </w:r>
            <w:r w:rsidR="00E0572C" w:rsidRPr="004172E7">
              <w:rPr>
                <w:bCs/>
                <w:sz w:val="24"/>
                <w:szCs w:val="24"/>
                <w:lang w:val="en-US"/>
              </w:rPr>
              <w:t xml:space="preserve"> on </w:t>
            </w:r>
            <w:r w:rsidR="000972CE" w:rsidRPr="004172E7">
              <w:rPr>
                <w:bCs/>
                <w:sz w:val="24"/>
                <w:szCs w:val="24"/>
                <w:lang w:val="en-US"/>
              </w:rPr>
              <w:t xml:space="preserve">currently available global coupled model </w:t>
            </w:r>
            <w:r w:rsidR="00E0572C" w:rsidRPr="004172E7">
              <w:rPr>
                <w:bCs/>
                <w:sz w:val="24"/>
                <w:szCs w:val="24"/>
                <w:lang w:val="en-US"/>
              </w:rPr>
              <w:t>forecasts,</w:t>
            </w:r>
            <w:r w:rsidR="000972CE" w:rsidRPr="004172E7">
              <w:rPr>
                <w:bCs/>
                <w:sz w:val="24"/>
                <w:szCs w:val="24"/>
                <w:lang w:val="en-US"/>
              </w:rPr>
              <w:t xml:space="preserve"> and regional predictability levels associated to ENSO/MJO/SAM</w:t>
            </w:r>
            <w:r w:rsidR="00E0572C" w:rsidRPr="004172E7">
              <w:rPr>
                <w:bCs/>
                <w:sz w:val="24"/>
                <w:szCs w:val="24"/>
                <w:lang w:val="en-US"/>
              </w:rPr>
              <w:t xml:space="preserve"> in order to provide skilful predictions at the regional level. </w:t>
            </w:r>
          </w:p>
        </w:tc>
      </w:tr>
      <w:tr w:rsidR="00316F49" w:rsidRPr="000F0B86" w:rsidTr="00F01B59">
        <w:tc>
          <w:tcPr>
            <w:tcW w:w="4219" w:type="dxa"/>
          </w:tcPr>
          <w:p w:rsidR="00316F49" w:rsidRDefault="00893CFA" w:rsidP="00893CFA">
            <w:pPr>
              <w:pStyle w:val="Textocomentario"/>
              <w:spacing w:line="276" w:lineRule="auto"/>
              <w:jc w:val="both"/>
            </w:pPr>
            <w:r>
              <w:rPr>
                <w:bCs/>
              </w:rPr>
              <w:t>3. Improve understanding and assess predictability of climate extreme events, and evaluate their impacts on key environmental services and on society</w:t>
            </w:r>
          </w:p>
        </w:tc>
        <w:tc>
          <w:tcPr>
            <w:tcW w:w="4253" w:type="dxa"/>
          </w:tcPr>
          <w:p w:rsidR="00316F49" w:rsidRDefault="00215843" w:rsidP="0099693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Identification of limitations in their prediction and </w:t>
            </w:r>
            <w:r w:rsidR="00075B7D">
              <w:rPr>
                <w:sz w:val="24"/>
                <w:szCs w:val="24"/>
                <w:lang w:val="en-US"/>
              </w:rPr>
              <w:t xml:space="preserve">definition of </w:t>
            </w:r>
            <w:r>
              <w:rPr>
                <w:sz w:val="24"/>
                <w:szCs w:val="24"/>
                <w:lang w:val="en-US"/>
              </w:rPr>
              <w:t xml:space="preserve">priorities to </w:t>
            </w:r>
            <w:r w:rsidR="0099693C">
              <w:rPr>
                <w:sz w:val="24"/>
                <w:szCs w:val="24"/>
                <w:lang w:val="en-US"/>
              </w:rPr>
              <w:t>reduce their impact on society</w:t>
            </w:r>
          </w:p>
        </w:tc>
      </w:tr>
      <w:tr w:rsidR="00FE601B" w:rsidRPr="000F0B86" w:rsidTr="00F01B59">
        <w:tc>
          <w:tcPr>
            <w:tcW w:w="4219" w:type="dxa"/>
          </w:tcPr>
          <w:p w:rsidR="00FE601B" w:rsidRPr="004A742E" w:rsidRDefault="00FE601B" w:rsidP="00FE601B">
            <w:pPr>
              <w:pStyle w:val="Textocomentario"/>
              <w:numPr>
                <w:ilvl w:val="0"/>
                <w:numId w:val="9"/>
              </w:numPr>
              <w:spacing w:line="276" w:lineRule="auto"/>
              <w:ind w:left="0" w:firstLine="66"/>
              <w:jc w:val="both"/>
            </w:pPr>
            <w:r>
              <w:t xml:space="preserve">Assess regional capabilities for </w:t>
            </w:r>
            <w:r w:rsidRPr="00AD36AF">
              <w:t xml:space="preserve">monitoring </w:t>
            </w:r>
            <w:r>
              <w:t>the climate system and extreme climate events, including those of natural and anthropogenic origin</w:t>
            </w:r>
            <w:r w:rsidRPr="00AD36AF">
              <w:t>.</w:t>
            </w:r>
          </w:p>
          <w:p w:rsidR="00FE601B" w:rsidRDefault="00FE601B" w:rsidP="00893CFA">
            <w:pPr>
              <w:pStyle w:val="Textocomentario"/>
              <w:spacing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</w:tcPr>
          <w:p w:rsidR="00FE601B" w:rsidRDefault="00FE601B" w:rsidP="00BF107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Identification of critical monitoring gaps in LAC and elaboration of recommendations on how to enhance the monitoring </w:t>
            </w:r>
            <w:r w:rsidR="00BF107C">
              <w:rPr>
                <w:sz w:val="24"/>
                <w:szCs w:val="24"/>
                <w:lang w:val="en-US"/>
              </w:rPr>
              <w:t xml:space="preserve">system </w:t>
            </w:r>
            <w:r>
              <w:rPr>
                <w:sz w:val="24"/>
                <w:szCs w:val="24"/>
                <w:lang w:val="en-US"/>
              </w:rPr>
              <w:t>in view of the provision of climate services</w:t>
            </w:r>
          </w:p>
        </w:tc>
      </w:tr>
      <w:tr w:rsidR="001A65C0" w:rsidRPr="000F0B86" w:rsidTr="00F01B59">
        <w:tc>
          <w:tcPr>
            <w:tcW w:w="4219" w:type="dxa"/>
          </w:tcPr>
          <w:p w:rsidR="001A65C0" w:rsidRPr="00E06E16" w:rsidRDefault="008D5E42" w:rsidP="00FE601B">
            <w:pPr>
              <w:pStyle w:val="Prrafodelista"/>
              <w:numPr>
                <w:ilvl w:val="0"/>
                <w:numId w:val="9"/>
              </w:numPr>
              <w:ind w:left="142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 and plan how to e</w:t>
            </w:r>
            <w:r w:rsidR="00BA5DB0" w:rsidRPr="00E06E16">
              <w:rPr>
                <w:sz w:val="24"/>
                <w:szCs w:val="24"/>
                <w:lang w:val="en-US"/>
              </w:rPr>
              <w:t xml:space="preserve">stablish a research framework oriented to identify climate-related information, products and tools needed in the different socioeconomic sectors, and to explore communication strategies to improve the flow of knowledge throughout the information </w:t>
            </w:r>
            <w:r w:rsidR="001365CF">
              <w:rPr>
                <w:sz w:val="24"/>
                <w:szCs w:val="24"/>
                <w:lang w:val="en-US"/>
              </w:rPr>
              <w:t>networks and contribute to the establishment of a “system of knowledge”</w:t>
            </w:r>
          </w:p>
        </w:tc>
        <w:tc>
          <w:tcPr>
            <w:tcW w:w="4253" w:type="dxa"/>
          </w:tcPr>
          <w:p w:rsidR="001A65C0" w:rsidRDefault="00E06E16" w:rsidP="004172E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Improved interactions between the climate science community, intermediary institutions/individuals, and decision makers (including policy makers)</w:t>
            </w:r>
            <w:r w:rsidR="0043602B">
              <w:rPr>
                <w:sz w:val="24"/>
                <w:szCs w:val="24"/>
                <w:lang w:val="en-US"/>
              </w:rPr>
              <w:t xml:space="preserve"> from the public and private sectors</w:t>
            </w:r>
            <w:r w:rsidR="004172E7">
              <w:rPr>
                <w:sz w:val="24"/>
                <w:szCs w:val="24"/>
                <w:lang w:val="en-US"/>
              </w:rPr>
              <w:t xml:space="preserve"> and definition of lines of research needed to improve effective communication and to incorporate climate knowledge into actual decisions and policy</w:t>
            </w:r>
          </w:p>
        </w:tc>
      </w:tr>
      <w:tr w:rsidR="00215843" w:rsidRPr="000F0B86" w:rsidTr="00F01B59">
        <w:tc>
          <w:tcPr>
            <w:tcW w:w="4219" w:type="dxa"/>
          </w:tcPr>
          <w:p w:rsidR="00215843" w:rsidRPr="00FE601B" w:rsidRDefault="00FE601B" w:rsidP="00FE601B">
            <w:pPr>
              <w:jc w:val="both"/>
              <w:rPr>
                <w:sz w:val="24"/>
                <w:szCs w:val="24"/>
                <w:lang w:val="en-US"/>
              </w:rPr>
            </w:pPr>
            <w:r w:rsidRPr="00FE601B">
              <w:rPr>
                <w:sz w:val="24"/>
                <w:szCs w:val="24"/>
                <w:lang w:val="en-US"/>
              </w:rPr>
              <w:t xml:space="preserve"> 6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215843" w:rsidRPr="00FE601B">
              <w:rPr>
                <w:sz w:val="24"/>
                <w:szCs w:val="24"/>
                <w:lang w:val="en-US"/>
              </w:rPr>
              <w:t>Promote discussions across WCRP emerging ini</w:t>
            </w:r>
            <w:r w:rsidR="001158A1" w:rsidRPr="00FE601B">
              <w:rPr>
                <w:sz w:val="24"/>
                <w:szCs w:val="24"/>
                <w:lang w:val="en-US"/>
              </w:rPr>
              <w:t>tiatives relevant to LAC such a</w:t>
            </w:r>
            <w:r w:rsidR="00215843" w:rsidRPr="00FE601B">
              <w:rPr>
                <w:sz w:val="24"/>
                <w:szCs w:val="24"/>
                <w:lang w:val="en-US"/>
              </w:rPr>
              <w:t>s grand challenge on regional climate, grand challenge on water availability, and CLIVAR Monsoon activities</w:t>
            </w:r>
          </w:p>
        </w:tc>
        <w:tc>
          <w:tcPr>
            <w:tcW w:w="4253" w:type="dxa"/>
          </w:tcPr>
          <w:p w:rsidR="00215843" w:rsidRDefault="00215843" w:rsidP="0020607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Better synergy between WCRP global initiatives and regional activities</w:t>
            </w:r>
          </w:p>
        </w:tc>
      </w:tr>
      <w:tr w:rsidR="00215843" w:rsidRPr="000F0B86" w:rsidTr="00F01B59">
        <w:tc>
          <w:tcPr>
            <w:tcW w:w="4219" w:type="dxa"/>
          </w:tcPr>
          <w:p w:rsidR="00215843" w:rsidRDefault="00FE601B" w:rsidP="00FE601B">
            <w:pPr>
              <w:pStyle w:val="Textocomentario"/>
              <w:spacing w:line="276" w:lineRule="auto"/>
              <w:jc w:val="both"/>
            </w:pPr>
            <w:r w:rsidRPr="00FE601B">
              <w:t>7.</w:t>
            </w:r>
            <w:r>
              <w:t xml:space="preserve"> </w:t>
            </w:r>
            <w:r w:rsidR="00893CFA" w:rsidRPr="00893CFA">
              <w:t>Contribute to the identification of knowledge needed to establish relevant regional climate services with the advances in the above research topics</w:t>
            </w:r>
          </w:p>
          <w:p w:rsidR="00215843" w:rsidRDefault="00215843" w:rsidP="00B12C4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215843" w:rsidRDefault="0099693C" w:rsidP="0099693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Leverage climate</w:t>
            </w:r>
            <w:r w:rsidR="004172E7">
              <w:rPr>
                <w:sz w:val="24"/>
                <w:szCs w:val="24"/>
                <w:lang w:val="en-US"/>
              </w:rPr>
              <w:t>, sectorial</w:t>
            </w:r>
            <w:r>
              <w:rPr>
                <w:sz w:val="24"/>
                <w:szCs w:val="24"/>
                <w:lang w:val="en-US"/>
              </w:rPr>
              <w:t xml:space="preserve"> and social researchers participation in developing regional climate services</w:t>
            </w:r>
          </w:p>
        </w:tc>
      </w:tr>
    </w:tbl>
    <w:p w:rsidR="00EC2148" w:rsidRPr="00B12C44" w:rsidRDefault="00EC2148" w:rsidP="000F0B86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EC2148" w:rsidRPr="00B12C44" w:rsidSect="000F0B86">
      <w:pgSz w:w="12240" w:h="15840"/>
      <w:pgMar w:top="1077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C19"/>
    <w:multiLevelType w:val="hybridMultilevel"/>
    <w:tmpl w:val="EE8E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30C7"/>
    <w:multiLevelType w:val="hybridMultilevel"/>
    <w:tmpl w:val="ED127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0C36"/>
    <w:multiLevelType w:val="hybridMultilevel"/>
    <w:tmpl w:val="98628B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632D"/>
    <w:multiLevelType w:val="hybridMultilevel"/>
    <w:tmpl w:val="A9EA008C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6091"/>
    <w:multiLevelType w:val="hybridMultilevel"/>
    <w:tmpl w:val="98628B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0348C"/>
    <w:multiLevelType w:val="hybridMultilevel"/>
    <w:tmpl w:val="457C33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3610F"/>
    <w:multiLevelType w:val="hybridMultilevel"/>
    <w:tmpl w:val="98628B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25268"/>
    <w:multiLevelType w:val="hybridMultilevel"/>
    <w:tmpl w:val="F8A8D50C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A446A"/>
    <w:multiLevelType w:val="hybridMultilevel"/>
    <w:tmpl w:val="98628B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95"/>
    <w:rsid w:val="000302BB"/>
    <w:rsid w:val="00075B7D"/>
    <w:rsid w:val="000972CE"/>
    <w:rsid w:val="000F0B86"/>
    <w:rsid w:val="001014FB"/>
    <w:rsid w:val="001158A1"/>
    <w:rsid w:val="001335F6"/>
    <w:rsid w:val="001365CF"/>
    <w:rsid w:val="001A65C0"/>
    <w:rsid w:val="001B5ACA"/>
    <w:rsid w:val="00206078"/>
    <w:rsid w:val="00215843"/>
    <w:rsid w:val="002218F8"/>
    <w:rsid w:val="0023635B"/>
    <w:rsid w:val="002416B6"/>
    <w:rsid w:val="002D7CA5"/>
    <w:rsid w:val="002E0E32"/>
    <w:rsid w:val="002F4418"/>
    <w:rsid w:val="00316F49"/>
    <w:rsid w:val="00383104"/>
    <w:rsid w:val="00387E37"/>
    <w:rsid w:val="004172E7"/>
    <w:rsid w:val="0043602B"/>
    <w:rsid w:val="00440766"/>
    <w:rsid w:val="00445E16"/>
    <w:rsid w:val="004912C8"/>
    <w:rsid w:val="004A742E"/>
    <w:rsid w:val="004D6D3C"/>
    <w:rsid w:val="00560FA1"/>
    <w:rsid w:val="00570E57"/>
    <w:rsid w:val="005C482C"/>
    <w:rsid w:val="00625B1D"/>
    <w:rsid w:val="00641D89"/>
    <w:rsid w:val="006E52CB"/>
    <w:rsid w:val="00701A5D"/>
    <w:rsid w:val="00737E6B"/>
    <w:rsid w:val="007677CA"/>
    <w:rsid w:val="00775628"/>
    <w:rsid w:val="00776816"/>
    <w:rsid w:val="00795161"/>
    <w:rsid w:val="0079711C"/>
    <w:rsid w:val="007A6021"/>
    <w:rsid w:val="008102F6"/>
    <w:rsid w:val="0086288C"/>
    <w:rsid w:val="00893CFA"/>
    <w:rsid w:val="008C395B"/>
    <w:rsid w:val="008D5E42"/>
    <w:rsid w:val="008E1803"/>
    <w:rsid w:val="008E1A6A"/>
    <w:rsid w:val="00917AAD"/>
    <w:rsid w:val="00935D2C"/>
    <w:rsid w:val="0099693C"/>
    <w:rsid w:val="00A534E0"/>
    <w:rsid w:val="00AC02E7"/>
    <w:rsid w:val="00AD36AF"/>
    <w:rsid w:val="00AE35F7"/>
    <w:rsid w:val="00B12C44"/>
    <w:rsid w:val="00B85086"/>
    <w:rsid w:val="00BA2B95"/>
    <w:rsid w:val="00BA5DB0"/>
    <w:rsid w:val="00BF107C"/>
    <w:rsid w:val="00C03CFB"/>
    <w:rsid w:val="00C26CB6"/>
    <w:rsid w:val="00C8339C"/>
    <w:rsid w:val="00C92A91"/>
    <w:rsid w:val="00CD78CD"/>
    <w:rsid w:val="00E0572C"/>
    <w:rsid w:val="00E06E16"/>
    <w:rsid w:val="00E35FFD"/>
    <w:rsid w:val="00E662D7"/>
    <w:rsid w:val="00E706B0"/>
    <w:rsid w:val="00E7667D"/>
    <w:rsid w:val="00E8456A"/>
    <w:rsid w:val="00EC2148"/>
    <w:rsid w:val="00F01B59"/>
    <w:rsid w:val="00FE1092"/>
    <w:rsid w:val="00FE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218F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218F8"/>
    <w:pPr>
      <w:spacing w:line="240" w:lineRule="auto"/>
    </w:pPr>
    <w:rPr>
      <w:sz w:val="24"/>
      <w:szCs w:val="24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18F8"/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8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CFB"/>
    <w:rPr>
      <w:b/>
      <w:bCs/>
      <w:sz w:val="20"/>
      <w:szCs w:val="20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CFB"/>
    <w:rPr>
      <w:b/>
      <w:bCs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A5DB0"/>
    <w:pPr>
      <w:ind w:left="720"/>
      <w:contextualSpacing/>
    </w:pPr>
  </w:style>
  <w:style w:type="paragraph" w:styleId="Revisin">
    <w:name w:val="Revision"/>
    <w:hidden/>
    <w:uiPriority w:val="99"/>
    <w:semiHidden/>
    <w:rsid w:val="001B5ACA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1365C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365C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218F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218F8"/>
    <w:pPr>
      <w:spacing w:line="240" w:lineRule="auto"/>
    </w:pPr>
    <w:rPr>
      <w:sz w:val="24"/>
      <w:szCs w:val="24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18F8"/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8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CFB"/>
    <w:rPr>
      <w:b/>
      <w:bCs/>
      <w:sz w:val="20"/>
      <w:szCs w:val="20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CFB"/>
    <w:rPr>
      <w:b/>
      <w:bCs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A5DB0"/>
    <w:pPr>
      <w:ind w:left="720"/>
      <w:contextualSpacing/>
    </w:pPr>
  </w:style>
  <w:style w:type="paragraph" w:styleId="Revisin">
    <w:name w:val="Revision"/>
    <w:hidden/>
    <w:uiPriority w:val="99"/>
    <w:semiHidden/>
    <w:rsid w:val="001B5ACA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1365C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365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5CBD-4936-48EE-AB2C-F5E5C517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</dc:creator>
  <cp:lastModifiedBy>Maria Ines</cp:lastModifiedBy>
  <cp:revision>2</cp:revision>
  <cp:lastPrinted>2013-05-24T17:52:00Z</cp:lastPrinted>
  <dcterms:created xsi:type="dcterms:W3CDTF">2013-06-12T05:22:00Z</dcterms:created>
  <dcterms:modified xsi:type="dcterms:W3CDTF">2013-06-12T05:22:00Z</dcterms:modified>
</cp:coreProperties>
</file>